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6E" w:rsidRPr="00223F80" w:rsidRDefault="00567AF0">
      <w:pPr>
        <w:rPr>
          <w:b/>
        </w:rPr>
      </w:pPr>
      <w:r w:rsidRPr="00223F80">
        <w:rPr>
          <w:b/>
        </w:rPr>
        <w:t>Source-Pathway-Receptor framework</w:t>
      </w:r>
    </w:p>
    <w:p w:rsidR="00567AF0" w:rsidRDefault="00175602">
      <w:r>
        <w:t xml:space="preserve">Briefing </w:t>
      </w:r>
      <w:r w:rsidR="00567AF0">
        <w:t>Note provided to the FAIR partners: Paul Sayers Aug 2017</w:t>
      </w:r>
    </w:p>
    <w:p w:rsidR="00567AF0" w:rsidRPr="003E1457" w:rsidRDefault="00567AF0" w:rsidP="003E1457">
      <w:pPr>
        <w:pStyle w:val="Heading1"/>
        <w:rPr>
          <w:b/>
        </w:rPr>
      </w:pPr>
      <w:r w:rsidRPr="003E1457">
        <w:rPr>
          <w:b/>
        </w:rPr>
        <w:t>The Source-Pathway-Receptor framework</w:t>
      </w:r>
    </w:p>
    <w:p w:rsidR="00567AF0" w:rsidRPr="003E1457" w:rsidRDefault="00567AF0" w:rsidP="003E1457">
      <w:pPr>
        <w:pStyle w:val="Heading2"/>
        <w:rPr>
          <w:b/>
        </w:rPr>
      </w:pPr>
      <w:r w:rsidRPr="003E1457">
        <w:rPr>
          <w:b/>
        </w:rPr>
        <w:t xml:space="preserve"> Introduction</w:t>
      </w:r>
    </w:p>
    <w:p w:rsidR="00567AF0" w:rsidRDefault="00567AF0">
      <w:r>
        <w:t>The basic components of probability and consequence can be usefully disaggregated further into their constituent components, based on the Source-Pathway-Receptor framework (Figure 1, Sayers et al, 2002).</w:t>
      </w:r>
    </w:p>
    <w:p w:rsidR="00567AF0" w:rsidRDefault="00175602">
      <w:r>
        <w:rPr>
          <w:noProof/>
        </w:rPr>
        <w:drawing>
          <wp:inline distT="0" distB="0" distL="0" distR="0" wp14:anchorId="23C042C7">
            <wp:extent cx="5944235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AF0" w:rsidRDefault="00567AF0">
      <w:r w:rsidRPr="00567AF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186ED" wp14:editId="6FF0A67E">
                <wp:simplePos x="0" y="0"/>
                <wp:positionH relativeFrom="column">
                  <wp:posOffset>11078210</wp:posOffset>
                </wp:positionH>
                <wp:positionV relativeFrom="paragraph">
                  <wp:posOffset>325120</wp:posOffset>
                </wp:positionV>
                <wp:extent cx="2183470" cy="377026"/>
                <wp:effectExtent l="0" t="0" r="7620" b="4445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470" cy="377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567AF0" w:rsidRDefault="00567AF0" w:rsidP="00567AF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Redrawn from Sayers et al, 2002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186ED" id="Rectangle 8" o:spid="_x0000_s1029" style="position:absolute;margin-left:872.3pt;margin-top:25.6pt;width:171.95pt;height: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3coAEAACkDAAAOAAAAZHJzL2Uyb0RvYy54bWysUk1v2zAMvQ/ofxB0b+ykRZMZcYphRXYZ&#10;tmLdfoAiS7YAfZVUYuffj1LSpNhuwy60KD0/8j1y/Tg5yw4K0ATf8vms5kx5GTrj+5b/+rm9XXGG&#10;SfhO2OBVy48K+ePm5sN6jI1ahCHYTgEjEo/NGFs+pBSbqkI5KCdwFqLy9KgDOJEohb7qQIzE7my1&#10;qOuHagzQRQhSIdLt0+mRbwq/1kqm71qjSsy2nHpLJUKJuxyrzVo0PYg4GHluQ/xDF04YT0UvVE8i&#10;CbYH8xeVMxICBp1mMrgqaG2kKhpIzbz+Q83LIKIqWsgcjBeb8P/Rym+HZ2Cma/lHzrxwNKIfZJrw&#10;vVVsle0ZIzaEeonPcM6QjlnrpMHlL6lgU7H0eLFUTYlJulzMV3f3S3Je0tvdclkvHjJpdf07AqYv&#10;KjiWDy0Hql6cFIevmE7QN0guhsGabmusLUleE/XZAjsIGvCun5/J36GqLODUcj6laTcVvQWab3ah&#10;O5IHIy1By/F1LyB7TpXip30KW1OauAKp+ZzQPIqM8+7kgb/PC+q64ZvfAAAA//8DAFBLAwQUAAYA&#10;CAAAACEAV5gNx+EAAAAMAQAADwAAAGRycy9kb3ducmV2LnhtbEyPQU+EMBCF7yb+h2ZMvBi3BXdZ&#10;RMpGTYxeWT2st0JngZW2hBYW/73jSY8v78ubb/LdYno24+g7ZyVEKwEMbe10ZxsJH+8vtykwH5TV&#10;qncWJXyjh11xeZGrTLuzLXHeh4bRiPWZktCGMGSc+7pFo/zKDWipO7rRqEBxbLge1ZnGTc9jIRJu&#10;VGfpQqsGfG6x/tpPRsI8n16P86m6/xye7g71W3lT4jhJeX21PD4AC7iEPxh+9UkdCnKq3GS1Zz3l&#10;7XqdECthE8XAiIhFmm6AVdRFIgFe5Pz/E8UPAAAA//8DAFBLAQItABQABgAIAAAAIQC2gziS/gAA&#10;AOEBAAATAAAAAAAAAAAAAAAAAAAAAABbQ29udGVudF9UeXBlc10ueG1sUEsBAi0AFAAGAAgAAAAh&#10;ADj9If/WAAAAlAEAAAsAAAAAAAAAAAAAAAAALwEAAF9yZWxzLy5yZWxzUEsBAi0AFAAGAAgAAAAh&#10;AJ6BHdygAQAAKQMAAA4AAAAAAAAAAAAAAAAALgIAAGRycy9lMm9Eb2MueG1sUEsBAi0AFAAGAAgA&#10;AAAhAFeYDcfhAAAADAEAAA8AAAAAAAAAAAAAAAAA+gMAAGRycy9kb3ducmV2LnhtbFBLBQYAAAAA&#10;BAAEAPMAAAAIBQAAAAA=&#10;" fillcolor="white [3212]" stroked="f">
                <v:textbox style="mso-fit-shape-to-text:t">
                  <w:txbxContent>
                    <w:p w:rsidR="00567AF0" w:rsidRDefault="00567AF0" w:rsidP="00567AF0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Redrawn from Sayers et al, 2002</w:t>
                      </w:r>
                    </w:p>
                  </w:txbxContent>
                </v:textbox>
              </v:rect>
            </w:pict>
          </mc:Fallback>
        </mc:AlternateContent>
      </w:r>
      <w:r w:rsidRPr="00567AF0">
        <w:rPr>
          <w:b/>
        </w:rPr>
        <w:t>Figure 1</w:t>
      </w:r>
      <w:r>
        <w:t xml:space="preserve"> – The basic Source-Pathway-Receptor framing (Sayers et al, 2002)</w:t>
      </w:r>
    </w:p>
    <w:p w:rsidR="00567AF0" w:rsidRDefault="003E1457">
      <w:r>
        <w:t>In exploring flood probability</w:t>
      </w:r>
      <w:r w:rsidR="00567AF0">
        <w:t xml:space="preserve">, this reflects both the probability of the initiating event (the </w:t>
      </w:r>
      <w:r w:rsidR="00567AF0" w:rsidRPr="00567AF0">
        <w:rPr>
          <w:b/>
        </w:rPr>
        <w:t>source</w:t>
      </w:r>
      <w:r w:rsidR="00567AF0">
        <w:t xml:space="preserve"> of the flood such as rainfall or a marine storm) and the probability that flood waters will reach a </w:t>
      </w:r>
      <w:proofErr w:type="gramStart"/>
      <w:r w:rsidR="00567AF0">
        <w:t>particular location</w:t>
      </w:r>
      <w:proofErr w:type="gramEnd"/>
      <w:r w:rsidR="00567AF0">
        <w:t xml:space="preserve"> in the floodplain, taking account of the performance of the intervening system of wetlands, channels, dams, levees, </w:t>
      </w:r>
      <w:r>
        <w:t xml:space="preserve">gates, </w:t>
      </w:r>
      <w:r w:rsidR="00567AF0">
        <w:t xml:space="preserve">floodwalls and other structures (the </w:t>
      </w:r>
      <w:r w:rsidR="00567AF0" w:rsidRPr="00567AF0">
        <w:rPr>
          <w:b/>
        </w:rPr>
        <w:t xml:space="preserve">pathway </w:t>
      </w:r>
      <w:r w:rsidR="00567AF0">
        <w:t xml:space="preserve">of the flood water). </w:t>
      </w:r>
    </w:p>
    <w:p w:rsidR="00567AF0" w:rsidRDefault="00567AF0">
      <w:r>
        <w:t>The con</w:t>
      </w:r>
      <w:r w:rsidR="003E1457">
        <w:t>sequences should flooding occur</w:t>
      </w:r>
      <w:r>
        <w:t xml:space="preserve"> reflects both the vulnerability of the</w:t>
      </w:r>
      <w:r w:rsidRPr="003E1457">
        <w:rPr>
          <w:b/>
        </w:rPr>
        <w:t xml:space="preserve"> receptors</w:t>
      </w:r>
      <w:r>
        <w:t xml:space="preserve"> and the chance that a given receptor will be exposed to the flood</w:t>
      </w:r>
      <w:r w:rsidR="003E1457">
        <w:t xml:space="preserve"> when it occurs</w:t>
      </w:r>
      <w:r>
        <w:t>.</w:t>
      </w:r>
      <w:bookmarkStart w:id="0" w:name="_GoBack"/>
      <w:bookmarkEnd w:id="0"/>
    </w:p>
    <w:p w:rsidR="00567AF0" w:rsidRDefault="00567AF0">
      <w:r>
        <w:t>The SPR frame</w:t>
      </w:r>
      <w:r w:rsidR="00175602">
        <w:t>work also provides a structured</w:t>
      </w:r>
      <w:r>
        <w:t xml:space="preserve"> means of considering the necessary aspects of the system to include in the system risk analysis, and how future changes</w:t>
      </w:r>
      <w:r w:rsidR="00175602">
        <w:t xml:space="preserve"> in different aspects</w:t>
      </w:r>
      <w:r>
        <w:t xml:space="preserve"> may change this system (Figure 2 – Sayers et al, 2013).</w:t>
      </w:r>
    </w:p>
    <w:p w:rsidR="00223F80" w:rsidRDefault="00223F80"/>
    <w:p w:rsidR="00223F80" w:rsidRDefault="00223F80">
      <w:r>
        <w:rPr>
          <w:noProof/>
        </w:rPr>
        <w:lastRenderedPageBreak/>
        <w:drawing>
          <wp:inline distT="0" distB="0" distL="0" distR="0" wp14:anchorId="2E68094E">
            <wp:extent cx="5682615" cy="384001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209" cy="384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F80" w:rsidRDefault="00223F80">
      <w:r w:rsidRPr="00223F80">
        <w:rPr>
          <w:b/>
        </w:rPr>
        <w:t>Figure 2</w:t>
      </w:r>
      <w:r>
        <w:t xml:space="preserve"> Drivers and responses include different aspects of the SPR framework (Sayers et al, 2013)</w:t>
      </w:r>
    </w:p>
    <w:p w:rsidR="00223F80" w:rsidRPr="00223F80" w:rsidRDefault="00175602">
      <w:pPr>
        <w:rPr>
          <w:b/>
        </w:rPr>
      </w:pPr>
      <w:r>
        <w:rPr>
          <w:b/>
        </w:rPr>
        <w:t>R</w:t>
      </w:r>
      <w:r w:rsidR="00223F80" w:rsidRPr="00223F80">
        <w:rPr>
          <w:b/>
        </w:rPr>
        <w:t>eferences</w:t>
      </w:r>
    </w:p>
    <w:p w:rsidR="00223F80" w:rsidRPr="00175602" w:rsidRDefault="00223F80">
      <w:pPr>
        <w:rPr>
          <w:rFonts w:cstheme="minorHAnsi"/>
        </w:rPr>
      </w:pPr>
      <w:r w:rsidRPr="00175602">
        <w:rPr>
          <w:rStyle w:val="Strong"/>
          <w:rFonts w:cstheme="minorHAnsi"/>
          <w:sz w:val="20"/>
          <w:szCs w:val="20"/>
          <w:shd w:val="clear" w:color="auto" w:fill="FFFFFF"/>
        </w:rPr>
        <w:t>Sayers PB</w:t>
      </w:r>
      <w:r w:rsidRPr="00175602">
        <w:rPr>
          <w:rFonts w:cstheme="minorHAnsi"/>
          <w:sz w:val="20"/>
          <w:szCs w:val="20"/>
          <w:shd w:val="clear" w:color="auto" w:fill="FFFFFF"/>
        </w:rPr>
        <w:t>; Hall JW; Meadowcroft IC (2002). </w:t>
      </w:r>
      <w:hyperlink r:id="rId6" w:tgtFrame="_blank" w:history="1">
        <w:r w:rsidRPr="00175602">
          <w:rPr>
            <w:rStyle w:val="Hyperlink"/>
            <w:rFonts w:cstheme="minorHAnsi"/>
            <w:b/>
            <w:bCs/>
            <w:color w:val="auto"/>
            <w:sz w:val="20"/>
            <w:szCs w:val="20"/>
            <w:shd w:val="clear" w:color="auto" w:fill="FFFFFF"/>
          </w:rPr>
          <w:t>Towards risk-based flood hazard management in the</w:t>
        </w:r>
      </w:hyperlink>
      <w:r w:rsidRPr="00175602">
        <w:rPr>
          <w:rStyle w:val="Strong"/>
          <w:rFonts w:cstheme="minorHAnsi"/>
          <w:sz w:val="20"/>
          <w:szCs w:val="20"/>
          <w:shd w:val="clear" w:color="auto" w:fill="FFFFFF"/>
        </w:rPr>
        <w:t>  UK. </w:t>
      </w:r>
      <w:r w:rsidRPr="00175602">
        <w:rPr>
          <w:rFonts w:cstheme="minorHAnsi"/>
          <w:sz w:val="20"/>
          <w:szCs w:val="20"/>
          <w:shd w:val="clear" w:color="auto" w:fill="FFFFFF"/>
        </w:rPr>
        <w:t>Civil Engineering 2002, 150(5), 36-42.</w:t>
      </w:r>
    </w:p>
    <w:p w:rsidR="00223F80" w:rsidRPr="00175602" w:rsidRDefault="00223F80">
      <w:pPr>
        <w:rPr>
          <w:rFonts w:cstheme="minorHAnsi"/>
        </w:rPr>
      </w:pPr>
      <w:r w:rsidRPr="00175602">
        <w:rPr>
          <w:rFonts w:cstheme="minorHAnsi"/>
          <w:sz w:val="20"/>
          <w:szCs w:val="20"/>
          <w:shd w:val="clear" w:color="auto" w:fill="FFFFFF"/>
        </w:rPr>
        <w:t>P. Sayers, Y. Li, G. Galloway, E. Penning-</w:t>
      </w:r>
      <w:proofErr w:type="spellStart"/>
      <w:r w:rsidRPr="00175602">
        <w:rPr>
          <w:rFonts w:cstheme="minorHAnsi"/>
          <w:sz w:val="20"/>
          <w:szCs w:val="20"/>
          <w:shd w:val="clear" w:color="auto" w:fill="FFFFFF"/>
        </w:rPr>
        <w:t>Rowsell</w:t>
      </w:r>
      <w:proofErr w:type="spellEnd"/>
      <w:r w:rsidRPr="00175602">
        <w:rPr>
          <w:rFonts w:cstheme="minorHAnsi"/>
          <w:sz w:val="20"/>
          <w:szCs w:val="20"/>
          <w:shd w:val="clear" w:color="auto" w:fill="FFFFFF"/>
        </w:rPr>
        <w:t xml:space="preserve">, F. Shen, K. Wen, Y. Chen, and T. Le </w:t>
      </w:r>
      <w:proofErr w:type="spellStart"/>
      <w:r w:rsidRPr="00175602">
        <w:rPr>
          <w:rFonts w:cstheme="minorHAnsi"/>
          <w:sz w:val="20"/>
          <w:szCs w:val="20"/>
          <w:shd w:val="clear" w:color="auto" w:fill="FFFFFF"/>
        </w:rPr>
        <w:t>Quesne</w:t>
      </w:r>
      <w:proofErr w:type="spellEnd"/>
      <w:r w:rsidRPr="00175602">
        <w:rPr>
          <w:rFonts w:cstheme="minorHAnsi"/>
          <w:sz w:val="20"/>
          <w:szCs w:val="20"/>
          <w:shd w:val="clear" w:color="auto" w:fill="FFFFFF"/>
        </w:rPr>
        <w:t xml:space="preserve">.  </w:t>
      </w:r>
      <w:hyperlink r:id="rId7" w:tgtFrame="_blank" w:history="1">
        <w:r w:rsidRPr="00175602">
          <w:rPr>
            <w:rStyle w:val="Hyperlink"/>
            <w:rFonts w:cstheme="minorHAnsi"/>
            <w:b/>
            <w:bCs/>
            <w:color w:val="auto"/>
            <w:sz w:val="20"/>
            <w:szCs w:val="20"/>
            <w:shd w:val="clear" w:color="auto" w:fill="FFFFFF"/>
          </w:rPr>
          <w:t>Flood Risk Management: A strategic approach</w:t>
        </w:r>
      </w:hyperlink>
      <w:r w:rsidRPr="00175602">
        <w:rPr>
          <w:rStyle w:val="Strong"/>
          <w:rFonts w:cstheme="minorHAnsi"/>
          <w:sz w:val="20"/>
          <w:szCs w:val="20"/>
          <w:shd w:val="clear" w:color="auto" w:fill="FFFFFF"/>
        </w:rPr>
        <w:t> (2013)</w:t>
      </w:r>
      <w:r w:rsidRPr="00175602">
        <w:rPr>
          <w:rFonts w:cstheme="minorHAnsi"/>
          <w:sz w:val="20"/>
          <w:szCs w:val="20"/>
          <w:shd w:val="clear" w:color="auto" w:fill="FFFFFF"/>
        </w:rPr>
        <w:t xml:space="preserve">. Published in 2013 by the United Nations Educational, Scientific and Cultural Organization 7, place de </w:t>
      </w:r>
      <w:proofErr w:type="spellStart"/>
      <w:r w:rsidRPr="00175602">
        <w:rPr>
          <w:rFonts w:cstheme="minorHAnsi"/>
          <w:sz w:val="20"/>
          <w:szCs w:val="20"/>
          <w:shd w:val="clear" w:color="auto" w:fill="FFFFFF"/>
        </w:rPr>
        <w:t>Fontenoy</w:t>
      </w:r>
      <w:proofErr w:type="spellEnd"/>
      <w:r w:rsidRPr="00175602">
        <w:rPr>
          <w:rFonts w:cstheme="minorHAnsi"/>
          <w:sz w:val="20"/>
          <w:szCs w:val="20"/>
          <w:shd w:val="clear" w:color="auto" w:fill="FFFFFF"/>
        </w:rPr>
        <w:t>, 75352 Paris 07SP, France © UNESCO 2013 in association with Asian Development Bank, WWF-International and the GIWP, China. ISBN 978-92-3-001159-8.</w:t>
      </w:r>
    </w:p>
    <w:sectPr w:rsidR="00223F80" w:rsidRPr="00175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F0"/>
    <w:rsid w:val="00036A5F"/>
    <w:rsid w:val="000445D1"/>
    <w:rsid w:val="000A2345"/>
    <w:rsid w:val="000A7532"/>
    <w:rsid w:val="00157212"/>
    <w:rsid w:val="00175602"/>
    <w:rsid w:val="001E0138"/>
    <w:rsid w:val="00223F80"/>
    <w:rsid w:val="002A11F4"/>
    <w:rsid w:val="00306E63"/>
    <w:rsid w:val="003410FE"/>
    <w:rsid w:val="003E1457"/>
    <w:rsid w:val="00440DC0"/>
    <w:rsid w:val="00467251"/>
    <w:rsid w:val="00473279"/>
    <w:rsid w:val="004815DB"/>
    <w:rsid w:val="004E311B"/>
    <w:rsid w:val="00510E59"/>
    <w:rsid w:val="00541E19"/>
    <w:rsid w:val="00567AF0"/>
    <w:rsid w:val="005A4AB5"/>
    <w:rsid w:val="00694E34"/>
    <w:rsid w:val="00707227"/>
    <w:rsid w:val="00725D35"/>
    <w:rsid w:val="007A2EBC"/>
    <w:rsid w:val="007D28A0"/>
    <w:rsid w:val="00823793"/>
    <w:rsid w:val="008352A3"/>
    <w:rsid w:val="00874E28"/>
    <w:rsid w:val="008A5B1A"/>
    <w:rsid w:val="008D48D6"/>
    <w:rsid w:val="008D51CF"/>
    <w:rsid w:val="00A433FA"/>
    <w:rsid w:val="00A479BB"/>
    <w:rsid w:val="00A6497B"/>
    <w:rsid w:val="00B20338"/>
    <w:rsid w:val="00B25B23"/>
    <w:rsid w:val="00BC1F9D"/>
    <w:rsid w:val="00BD1A22"/>
    <w:rsid w:val="00C73060"/>
    <w:rsid w:val="00C87B0C"/>
    <w:rsid w:val="00CD6A23"/>
    <w:rsid w:val="00D105F6"/>
    <w:rsid w:val="00D242E9"/>
    <w:rsid w:val="00D47A54"/>
    <w:rsid w:val="00D76FD1"/>
    <w:rsid w:val="00DB05AE"/>
    <w:rsid w:val="00DC10A1"/>
    <w:rsid w:val="00DE7982"/>
    <w:rsid w:val="00ED096A"/>
    <w:rsid w:val="00EF4C64"/>
    <w:rsid w:val="00F57A86"/>
    <w:rsid w:val="00F7143B"/>
    <w:rsid w:val="00FB593C"/>
    <w:rsid w:val="00FB5AA3"/>
    <w:rsid w:val="00F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E13E"/>
  <w15:chartTrackingRefBased/>
  <w15:docId w15:val="{836779DF-D0B8-4198-9514-376F55B6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aliases w:val="heading 4"/>
    <w:basedOn w:val="Normal"/>
    <w:next w:val="Normal"/>
    <w:link w:val="Heading4Char"/>
    <w:uiPriority w:val="99"/>
    <w:qFormat/>
    <w:rsid w:val="00FB593C"/>
    <w:pPr>
      <w:keepNext/>
      <w:spacing w:after="120" w:line="276" w:lineRule="auto"/>
      <w:jc w:val="both"/>
      <w:outlineLvl w:val="3"/>
    </w:pPr>
    <w:rPr>
      <w:rFonts w:ascii="Calibri" w:eastAsia="Times New Roman" w:hAnsi="Calibri" w:cs="Times New Roman"/>
      <w:b/>
      <w:i/>
      <w:szCs w:val="20"/>
      <w:lang w:val="en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eading 4 Char"/>
    <w:basedOn w:val="DefaultParagraphFont"/>
    <w:link w:val="Heading4"/>
    <w:uiPriority w:val="99"/>
    <w:rsid w:val="00FB593C"/>
    <w:rPr>
      <w:rFonts w:ascii="Calibri" w:eastAsia="Times New Roman" w:hAnsi="Calibri" w:cs="Times New Roman"/>
      <w:b/>
      <w:i/>
      <w:szCs w:val="20"/>
      <w:lang w:val="en-CA" w:eastAsia="fr-FR"/>
    </w:rPr>
  </w:style>
  <w:style w:type="paragraph" w:styleId="NormalWeb">
    <w:name w:val="Normal (Web)"/>
    <w:basedOn w:val="Normal"/>
    <w:uiPriority w:val="99"/>
    <w:semiHidden/>
    <w:unhideWhenUsed/>
    <w:rsid w:val="00567A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23F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3F8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1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db.org/sites/default/files/publication/30246/flood-risk-manage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yersandpartners.co.uk/uploads/6/2/0/9/6209349/2002_-_sayers_et_al_-_towards_risk-based_flood_hazard_management_in_the_uk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Sayers</dc:creator>
  <cp:keywords/>
  <dc:description/>
  <cp:lastModifiedBy>Paul Sayers</cp:lastModifiedBy>
  <cp:revision>2</cp:revision>
  <dcterms:created xsi:type="dcterms:W3CDTF">2017-08-03T09:14:00Z</dcterms:created>
  <dcterms:modified xsi:type="dcterms:W3CDTF">2017-08-03T09:14:00Z</dcterms:modified>
</cp:coreProperties>
</file>